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DB3" w:rsidRDefault="00C14DB3" w:rsidP="00C14DB3"/>
    <w:p w:rsidR="00016AC0" w:rsidRPr="00016AC0" w:rsidRDefault="00016AC0" w:rsidP="00016AC0">
      <w:pPr>
        <w:jc w:val="both"/>
        <w:rPr>
          <w:sz w:val="28"/>
          <w:szCs w:val="28"/>
        </w:rPr>
      </w:pPr>
      <w:r w:rsidRPr="00016AC0">
        <w:rPr>
          <w:sz w:val="28"/>
          <w:szCs w:val="28"/>
        </w:rPr>
        <w:t xml:space="preserve">Since the proposed work of replacement of existing earth wire with </w:t>
      </w:r>
      <w:r w:rsidR="00345826">
        <w:rPr>
          <w:sz w:val="28"/>
          <w:szCs w:val="28"/>
        </w:rPr>
        <w:t>24</w:t>
      </w:r>
      <w:r w:rsidRPr="00016AC0">
        <w:rPr>
          <w:sz w:val="28"/>
          <w:szCs w:val="28"/>
        </w:rPr>
        <w:t xml:space="preserve">F OPGW in </w:t>
      </w:r>
      <w:r w:rsidR="00345826">
        <w:rPr>
          <w:sz w:val="28"/>
          <w:szCs w:val="28"/>
        </w:rPr>
        <w:t>220</w:t>
      </w:r>
      <w:r w:rsidRPr="00016AC0">
        <w:rPr>
          <w:sz w:val="28"/>
          <w:szCs w:val="28"/>
        </w:rPr>
        <w:t xml:space="preserve">kV </w:t>
      </w:r>
      <w:proofErr w:type="spellStart"/>
      <w:r w:rsidRPr="00016AC0">
        <w:rPr>
          <w:sz w:val="28"/>
          <w:szCs w:val="28"/>
        </w:rPr>
        <w:t>Mendhasal</w:t>
      </w:r>
      <w:r w:rsidR="00345826">
        <w:rPr>
          <w:sz w:val="28"/>
          <w:szCs w:val="28"/>
        </w:rPr>
        <w:t>-Bidanasi</w:t>
      </w:r>
      <w:proofErr w:type="spellEnd"/>
      <w:r w:rsidRPr="00016AC0">
        <w:rPr>
          <w:sz w:val="28"/>
          <w:szCs w:val="28"/>
        </w:rPr>
        <w:t xml:space="preserve"> line forms a part of system strengthening and communication infrastructure upgradation under O</w:t>
      </w:r>
      <w:r w:rsidR="006B7F1F">
        <w:rPr>
          <w:sz w:val="28"/>
          <w:szCs w:val="28"/>
        </w:rPr>
        <w:t>PTCL’s grid modernization plan. T</w:t>
      </w:r>
      <w:r w:rsidRPr="00016AC0">
        <w:rPr>
          <w:sz w:val="28"/>
          <w:szCs w:val="28"/>
        </w:rPr>
        <w:t>he intangible and indirect financial benefits from this project are substantial and can be realized as follows:</w:t>
      </w:r>
    </w:p>
    <w:p w:rsidR="00016AC0" w:rsidRPr="00016AC0" w:rsidRDefault="00016AC0" w:rsidP="00016AC0">
      <w:pPr>
        <w:jc w:val="both"/>
        <w:rPr>
          <w:sz w:val="28"/>
          <w:szCs w:val="28"/>
        </w:rPr>
      </w:pPr>
    </w:p>
    <w:p w:rsidR="00016AC0" w:rsidRPr="00016AC0" w:rsidRDefault="00016AC0" w:rsidP="00016AC0">
      <w:pPr>
        <w:jc w:val="both"/>
        <w:rPr>
          <w:b/>
          <w:sz w:val="28"/>
          <w:szCs w:val="28"/>
        </w:rPr>
      </w:pPr>
      <w:r w:rsidRPr="00016AC0">
        <w:rPr>
          <w:b/>
          <w:sz w:val="28"/>
          <w:szCs w:val="28"/>
        </w:rPr>
        <w:t>Enhanced System Reliability:</w:t>
      </w:r>
    </w:p>
    <w:p w:rsidR="00016AC0" w:rsidRPr="00016AC0" w:rsidRDefault="00016AC0" w:rsidP="00016AC0">
      <w:pPr>
        <w:jc w:val="both"/>
        <w:rPr>
          <w:sz w:val="28"/>
          <w:szCs w:val="28"/>
        </w:rPr>
      </w:pPr>
      <w:r w:rsidRPr="00016AC0">
        <w:rPr>
          <w:sz w:val="28"/>
          <w:szCs w:val="28"/>
        </w:rPr>
        <w:t xml:space="preserve">The installation of </w:t>
      </w:r>
      <w:r w:rsidR="00345826">
        <w:rPr>
          <w:sz w:val="28"/>
          <w:szCs w:val="28"/>
        </w:rPr>
        <w:t>24</w:t>
      </w:r>
      <w:r w:rsidRPr="00016AC0">
        <w:rPr>
          <w:sz w:val="28"/>
          <w:szCs w:val="28"/>
        </w:rPr>
        <w:t xml:space="preserve">F OPGW will ensure </w:t>
      </w:r>
      <w:r w:rsidR="00345826">
        <w:rPr>
          <w:sz w:val="28"/>
          <w:szCs w:val="28"/>
        </w:rPr>
        <w:t xml:space="preserve">dual </w:t>
      </w:r>
      <w:r w:rsidRPr="00016AC0">
        <w:rPr>
          <w:sz w:val="28"/>
          <w:szCs w:val="28"/>
        </w:rPr>
        <w:t xml:space="preserve">communication paths between </w:t>
      </w:r>
      <w:proofErr w:type="spellStart"/>
      <w:r w:rsidRPr="00016AC0">
        <w:rPr>
          <w:sz w:val="28"/>
          <w:szCs w:val="28"/>
        </w:rPr>
        <w:t>Mendhasal</w:t>
      </w:r>
      <w:proofErr w:type="spellEnd"/>
      <w:r w:rsidR="00345826">
        <w:rPr>
          <w:sz w:val="28"/>
          <w:szCs w:val="28"/>
        </w:rPr>
        <w:t xml:space="preserve"> and </w:t>
      </w:r>
      <w:proofErr w:type="spellStart"/>
      <w:r w:rsidR="00345826">
        <w:rPr>
          <w:sz w:val="28"/>
          <w:szCs w:val="28"/>
        </w:rPr>
        <w:t>Bidanasi</w:t>
      </w:r>
      <w:proofErr w:type="spellEnd"/>
      <w:r w:rsidRPr="00016AC0">
        <w:rPr>
          <w:sz w:val="28"/>
          <w:szCs w:val="28"/>
        </w:rPr>
        <w:t>, providing redundancy in optical communication and eliminating dependency on a single OPGW. This will significantly improve reliability of data transmission for SCADA, protection, and voice communication.</w:t>
      </w:r>
    </w:p>
    <w:p w:rsidR="00016AC0" w:rsidRPr="00016AC0" w:rsidRDefault="00016AC0" w:rsidP="00016AC0">
      <w:pPr>
        <w:jc w:val="both"/>
        <w:rPr>
          <w:sz w:val="28"/>
          <w:szCs w:val="28"/>
        </w:rPr>
      </w:pPr>
    </w:p>
    <w:p w:rsidR="00016AC0" w:rsidRPr="00016AC0" w:rsidRDefault="00016AC0" w:rsidP="00016AC0">
      <w:pPr>
        <w:jc w:val="both"/>
        <w:rPr>
          <w:b/>
          <w:sz w:val="28"/>
          <w:szCs w:val="28"/>
        </w:rPr>
      </w:pPr>
      <w:r w:rsidRPr="00016AC0">
        <w:rPr>
          <w:b/>
          <w:sz w:val="28"/>
          <w:szCs w:val="28"/>
        </w:rPr>
        <w:t>Improved System Availability:</w:t>
      </w:r>
    </w:p>
    <w:p w:rsidR="00016AC0" w:rsidRPr="00016AC0" w:rsidRDefault="00016AC0" w:rsidP="00016AC0">
      <w:pPr>
        <w:jc w:val="both"/>
        <w:rPr>
          <w:sz w:val="28"/>
          <w:szCs w:val="28"/>
        </w:rPr>
      </w:pPr>
      <w:r w:rsidRPr="00016AC0">
        <w:rPr>
          <w:sz w:val="28"/>
          <w:szCs w:val="28"/>
        </w:rPr>
        <w:t>With dual OPGW routes, data flow interruptions during maintenance or fault conditions will be minimized, leading to higher uptime and stable network performance for SLDC and critical substations.</w:t>
      </w:r>
    </w:p>
    <w:p w:rsidR="00016AC0" w:rsidRPr="00016AC0" w:rsidRDefault="00016AC0" w:rsidP="00016AC0">
      <w:pPr>
        <w:jc w:val="both"/>
        <w:rPr>
          <w:sz w:val="28"/>
          <w:szCs w:val="28"/>
        </w:rPr>
      </w:pPr>
    </w:p>
    <w:p w:rsidR="00016AC0" w:rsidRPr="00016AC0" w:rsidRDefault="00016AC0" w:rsidP="00016AC0">
      <w:pPr>
        <w:jc w:val="both"/>
        <w:rPr>
          <w:b/>
          <w:sz w:val="28"/>
          <w:szCs w:val="28"/>
        </w:rPr>
      </w:pPr>
      <w:r w:rsidRPr="00016AC0">
        <w:rPr>
          <w:b/>
          <w:sz w:val="28"/>
          <w:szCs w:val="28"/>
        </w:rPr>
        <w:t>Bandwidth Augmentation:</w:t>
      </w:r>
    </w:p>
    <w:p w:rsidR="00016AC0" w:rsidRPr="00016AC0" w:rsidRDefault="00016AC0" w:rsidP="00016AC0">
      <w:pPr>
        <w:jc w:val="both"/>
        <w:rPr>
          <w:sz w:val="28"/>
          <w:szCs w:val="28"/>
        </w:rPr>
      </w:pPr>
      <w:r w:rsidRPr="00016AC0">
        <w:rPr>
          <w:sz w:val="28"/>
          <w:szCs w:val="28"/>
        </w:rPr>
        <w:t xml:space="preserve">The proposed </w:t>
      </w:r>
      <w:r w:rsidR="00345826">
        <w:rPr>
          <w:sz w:val="28"/>
          <w:szCs w:val="28"/>
        </w:rPr>
        <w:t>24</w:t>
      </w:r>
      <w:r w:rsidRPr="00016AC0">
        <w:rPr>
          <w:sz w:val="28"/>
          <w:szCs w:val="28"/>
        </w:rPr>
        <w:t>F OPGW will provide enhanced bandwidth capability to support expanding communication needs under STAMS, PMU, and SCADA projects, ensuring future readiness of OPTCL’s communication network.</w:t>
      </w:r>
    </w:p>
    <w:p w:rsidR="00016AC0" w:rsidRPr="00016AC0" w:rsidRDefault="00016AC0" w:rsidP="00016AC0">
      <w:pPr>
        <w:jc w:val="both"/>
        <w:rPr>
          <w:sz w:val="28"/>
          <w:szCs w:val="28"/>
        </w:rPr>
      </w:pPr>
    </w:p>
    <w:p w:rsidR="00016AC0" w:rsidRPr="00016AC0" w:rsidRDefault="00016AC0" w:rsidP="00016AC0">
      <w:pPr>
        <w:jc w:val="both"/>
        <w:rPr>
          <w:b/>
          <w:sz w:val="28"/>
          <w:szCs w:val="28"/>
        </w:rPr>
      </w:pPr>
      <w:r w:rsidRPr="00016AC0">
        <w:rPr>
          <w:b/>
          <w:sz w:val="28"/>
          <w:szCs w:val="28"/>
        </w:rPr>
        <w:t>Revenue Generation:</w:t>
      </w:r>
    </w:p>
    <w:p w:rsidR="00016AC0" w:rsidRPr="00016AC0" w:rsidRDefault="00016AC0" w:rsidP="00016AC0">
      <w:pPr>
        <w:jc w:val="both"/>
        <w:rPr>
          <w:sz w:val="28"/>
          <w:szCs w:val="28"/>
        </w:rPr>
      </w:pPr>
      <w:r w:rsidRPr="00016AC0">
        <w:rPr>
          <w:sz w:val="28"/>
          <w:szCs w:val="28"/>
        </w:rPr>
        <w:t>This OPGW will help in providing bandwidth and redundancy, and after meeting departmental communication requirements, the surplus fibers will be leased to telecom operators, resulting in additional non-tariff revenue for OPTCL.</w:t>
      </w:r>
    </w:p>
    <w:p w:rsidR="00016AC0" w:rsidRPr="00016AC0" w:rsidRDefault="00016AC0" w:rsidP="00016AC0">
      <w:pPr>
        <w:jc w:val="both"/>
        <w:rPr>
          <w:sz w:val="28"/>
          <w:szCs w:val="28"/>
        </w:rPr>
      </w:pPr>
    </w:p>
    <w:p w:rsidR="00016AC0" w:rsidRPr="00F52B66" w:rsidRDefault="00016AC0" w:rsidP="00016AC0">
      <w:pPr>
        <w:jc w:val="both"/>
        <w:rPr>
          <w:b/>
          <w:sz w:val="28"/>
          <w:szCs w:val="28"/>
        </w:rPr>
      </w:pPr>
      <w:r w:rsidRPr="00F52B66">
        <w:rPr>
          <w:b/>
          <w:sz w:val="28"/>
          <w:szCs w:val="28"/>
        </w:rPr>
        <w:t>Operational Efficiency:</w:t>
      </w:r>
    </w:p>
    <w:p w:rsidR="00016AC0" w:rsidRPr="00016AC0" w:rsidRDefault="00016AC0" w:rsidP="00016AC0">
      <w:pPr>
        <w:jc w:val="both"/>
        <w:rPr>
          <w:sz w:val="28"/>
          <w:szCs w:val="28"/>
        </w:rPr>
      </w:pPr>
      <w:r w:rsidRPr="00016AC0">
        <w:rPr>
          <w:sz w:val="28"/>
          <w:szCs w:val="28"/>
        </w:rPr>
        <w:t>Replacement of the conventional earth wire with OPGW will reduce the number of power interruptions due to lightning faults and ensure quicker restoration through improved real-time visibility of the system.</w:t>
      </w:r>
    </w:p>
    <w:p w:rsidR="00016AC0" w:rsidRPr="00016AC0" w:rsidRDefault="00016AC0" w:rsidP="00016AC0">
      <w:pPr>
        <w:jc w:val="both"/>
        <w:rPr>
          <w:sz w:val="28"/>
          <w:szCs w:val="28"/>
        </w:rPr>
      </w:pPr>
    </w:p>
    <w:p w:rsidR="00016AC0" w:rsidRPr="00016AC0" w:rsidRDefault="00016AC0" w:rsidP="00016AC0">
      <w:pPr>
        <w:jc w:val="both"/>
        <w:rPr>
          <w:sz w:val="28"/>
          <w:szCs w:val="28"/>
        </w:rPr>
      </w:pPr>
    </w:p>
    <w:p w:rsidR="00B54F4A" w:rsidRPr="00C14DB3" w:rsidRDefault="00016AC0" w:rsidP="00016AC0">
      <w:pPr>
        <w:jc w:val="both"/>
        <w:rPr>
          <w:sz w:val="28"/>
          <w:szCs w:val="28"/>
        </w:rPr>
      </w:pPr>
      <w:r w:rsidRPr="00016AC0">
        <w:rPr>
          <w:sz w:val="28"/>
          <w:szCs w:val="28"/>
        </w:rPr>
        <w:t xml:space="preserve">Hence, </w:t>
      </w:r>
      <w:bookmarkStart w:id="0" w:name="_GoBack"/>
      <w:bookmarkEnd w:id="0"/>
      <w:r w:rsidRPr="00016AC0">
        <w:rPr>
          <w:sz w:val="28"/>
          <w:szCs w:val="28"/>
        </w:rPr>
        <w:t>the project ensures strategic, technical, and economic benefits through improved reliability, enhanced communication redundancy, and sustained revenue generation from fiber leasing—making it an essential and justified investment under OPTCL’s modernization initiatives.</w:t>
      </w:r>
    </w:p>
    <w:sectPr w:rsidR="00B54F4A" w:rsidRPr="00C14DB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F44" w:rsidRDefault="00C03F44" w:rsidP="00022D85">
      <w:r>
        <w:separator/>
      </w:r>
    </w:p>
  </w:endnote>
  <w:endnote w:type="continuationSeparator" w:id="0">
    <w:p w:rsidR="00C03F44" w:rsidRDefault="00C03F44" w:rsidP="0002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F44" w:rsidRDefault="00C03F44" w:rsidP="00022D85">
      <w:r>
        <w:separator/>
      </w:r>
    </w:p>
  </w:footnote>
  <w:footnote w:type="continuationSeparator" w:id="0">
    <w:p w:rsidR="00C03F44" w:rsidRDefault="00C03F44" w:rsidP="00022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D85" w:rsidRPr="005A2060" w:rsidRDefault="00455D58" w:rsidP="00022D85">
    <w:pPr>
      <w:pStyle w:val="Header"/>
      <w:jc w:val="center"/>
      <w:rPr>
        <w:rFonts w:ascii="Trebuchet MS" w:hAnsi="Trebuchet MS"/>
        <w:b/>
        <w:sz w:val="48"/>
        <w:szCs w:val="48"/>
        <w:u w:val="single"/>
        <w:lang w:val="en-IN"/>
      </w:rPr>
    </w:pPr>
    <w:r>
      <w:rPr>
        <w:rFonts w:ascii="Trebuchet MS" w:hAnsi="Trebuchet MS"/>
        <w:b/>
        <w:sz w:val="48"/>
        <w:szCs w:val="48"/>
        <w:u w:val="single"/>
        <w:lang w:val="en-IN"/>
      </w:rPr>
      <w:t xml:space="preserve">Cost Benefit analysis &amp; </w:t>
    </w:r>
    <w:r w:rsidR="005A2060">
      <w:rPr>
        <w:rFonts w:ascii="Trebuchet MS" w:hAnsi="Trebuchet MS"/>
        <w:b/>
        <w:sz w:val="48"/>
        <w:szCs w:val="48"/>
        <w:u w:val="single"/>
        <w:lang w:val="en-IN"/>
      </w:rPr>
      <w:t>IRR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1108"/>
    <w:multiLevelType w:val="hybridMultilevel"/>
    <w:tmpl w:val="5240E8DA"/>
    <w:lvl w:ilvl="0" w:tplc="C3426508">
      <w:numFmt w:val="bullet"/>
      <w:lvlText w:val="-"/>
      <w:lvlJc w:val="left"/>
      <w:pPr>
        <w:ind w:left="720" w:hanging="360"/>
      </w:pPr>
      <w:rPr>
        <w:rFonts w:ascii="Segoe UI" w:eastAsia="Times New Roman" w:hAnsi="Segoe UI" w:cs="Segoe U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D85"/>
    <w:rsid w:val="00016AC0"/>
    <w:rsid w:val="00022D85"/>
    <w:rsid w:val="00144367"/>
    <w:rsid w:val="001A485E"/>
    <w:rsid w:val="0032290F"/>
    <w:rsid w:val="00345826"/>
    <w:rsid w:val="00455D58"/>
    <w:rsid w:val="005A2060"/>
    <w:rsid w:val="005D02F9"/>
    <w:rsid w:val="006B7F1F"/>
    <w:rsid w:val="00715B9B"/>
    <w:rsid w:val="00843F26"/>
    <w:rsid w:val="008713A8"/>
    <w:rsid w:val="00887A8D"/>
    <w:rsid w:val="00B1765D"/>
    <w:rsid w:val="00B54F4A"/>
    <w:rsid w:val="00C03F44"/>
    <w:rsid w:val="00C14DB3"/>
    <w:rsid w:val="00CE3F49"/>
    <w:rsid w:val="00DA3300"/>
    <w:rsid w:val="00DA6298"/>
    <w:rsid w:val="00EA138F"/>
    <w:rsid w:val="00F52B66"/>
    <w:rsid w:val="00F87B7C"/>
    <w:rsid w:val="00FF646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8F30BC-C148-4499-B3CA-48A3A111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38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2D85"/>
    <w:pPr>
      <w:tabs>
        <w:tab w:val="center" w:pos="4513"/>
        <w:tab w:val="right" w:pos="9026"/>
      </w:tabs>
    </w:pPr>
  </w:style>
  <w:style w:type="character" w:customStyle="1" w:styleId="HeaderChar">
    <w:name w:val="Header Char"/>
    <w:basedOn w:val="DefaultParagraphFont"/>
    <w:link w:val="Header"/>
    <w:uiPriority w:val="99"/>
    <w:rsid w:val="00022D85"/>
  </w:style>
  <w:style w:type="paragraph" w:styleId="Footer">
    <w:name w:val="footer"/>
    <w:basedOn w:val="Normal"/>
    <w:link w:val="FooterChar"/>
    <w:uiPriority w:val="99"/>
    <w:unhideWhenUsed/>
    <w:rsid w:val="00022D85"/>
    <w:pPr>
      <w:tabs>
        <w:tab w:val="center" w:pos="4513"/>
        <w:tab w:val="right" w:pos="9026"/>
      </w:tabs>
    </w:pPr>
  </w:style>
  <w:style w:type="character" w:customStyle="1" w:styleId="FooterChar">
    <w:name w:val="Footer Char"/>
    <w:basedOn w:val="DefaultParagraphFont"/>
    <w:link w:val="Footer"/>
    <w:uiPriority w:val="99"/>
    <w:rsid w:val="00022D85"/>
  </w:style>
  <w:style w:type="paragraph" w:styleId="ListParagraph">
    <w:name w:val="List Paragraph"/>
    <w:basedOn w:val="Normal"/>
    <w:link w:val="ListParagraphChar"/>
    <w:uiPriority w:val="34"/>
    <w:qFormat/>
    <w:rsid w:val="00EA138F"/>
    <w:pPr>
      <w:ind w:left="720"/>
      <w:contextualSpacing/>
    </w:pPr>
  </w:style>
  <w:style w:type="character" w:customStyle="1" w:styleId="ListParagraphChar">
    <w:name w:val="List Paragraph Char"/>
    <w:link w:val="ListParagraph"/>
    <w:uiPriority w:val="34"/>
    <w:locked/>
    <w:rsid w:val="00EA138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58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5AC3C-FF15-4845-A25B-97D609AD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Manar Ranjan</cp:lastModifiedBy>
  <cp:revision>19</cp:revision>
  <dcterms:created xsi:type="dcterms:W3CDTF">2025-08-15T14:19:00Z</dcterms:created>
  <dcterms:modified xsi:type="dcterms:W3CDTF">2026-02-11T05:28:00Z</dcterms:modified>
</cp:coreProperties>
</file>